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1C" w:rsidRDefault="00EF471C">
      <w:pPr>
        <w:suppressAutoHyphens/>
        <w:outlineLvl w:val="0"/>
        <w:rPr>
          <w:b/>
          <w:bCs/>
          <w:sz w:val="28"/>
          <w:szCs w:val="28"/>
        </w:rPr>
      </w:pPr>
    </w:p>
    <w:p w:rsidR="00EF471C" w:rsidRDefault="00EF471C">
      <w:pPr>
        <w:suppressAutoHyphens/>
        <w:outlineLvl w:val="0"/>
        <w:rPr>
          <w:b/>
          <w:bCs/>
          <w:sz w:val="28"/>
          <w:szCs w:val="28"/>
        </w:rPr>
      </w:pPr>
    </w:p>
    <w:p w:rsidR="00EF471C" w:rsidRDefault="004E002E">
      <w:pPr>
        <w:suppressAutoHyphens/>
        <w:outlineLvl w:val="0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IBC Protocol Submission Checklist</w:t>
      </w:r>
    </w:p>
    <w:p w:rsidR="00EF471C" w:rsidRDefault="00EF471C">
      <w:pPr>
        <w:widowControl w:val="0"/>
        <w:suppressAutoHyphens/>
        <w:outlineLvl w:val="0"/>
        <w:rPr>
          <w:b/>
          <w:bCs/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F471C">
        <w:trPr>
          <w:trHeight w:val="24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71C" w:rsidRDefault="004E002E">
            <w:pPr>
              <w:suppressAutoHyphens/>
              <w:jc w:val="both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REQUIRED FOR ALL PROTOCOL SUBMISSIONS</w:t>
            </w:r>
          </w:p>
        </w:tc>
      </w:tr>
    </w:tbl>
    <w:p w:rsidR="00EF471C" w:rsidRDefault="00EF471C">
      <w:pPr>
        <w:widowControl w:val="0"/>
        <w:suppressAutoHyphens/>
        <w:outlineLvl w:val="0"/>
        <w:rPr>
          <w:b/>
          <w:bCs/>
          <w:sz w:val="22"/>
          <w:szCs w:val="22"/>
        </w:rPr>
      </w:pPr>
    </w:p>
    <w:p w:rsidR="00EF471C" w:rsidRDefault="00EF471C">
      <w:pPr>
        <w:pStyle w:val="ListParagraph"/>
        <w:suppressAutoHyphens/>
        <w:ind w:left="360"/>
        <w:rPr>
          <w:b/>
          <w:bCs/>
          <w:sz w:val="22"/>
          <w:szCs w:val="22"/>
        </w:rPr>
      </w:pPr>
    </w:p>
    <w:p w:rsidR="00EF471C" w:rsidRDefault="004E002E">
      <w:pPr>
        <w:pStyle w:val="ListParagraph"/>
        <w:suppressAutoHyphens/>
        <w:ind w:left="36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IBC </w:t>
      </w:r>
      <w:r w:rsidR="008F14C8">
        <w:rPr>
          <w:b/>
          <w:bCs/>
          <w:sz w:val="22"/>
          <w:szCs w:val="22"/>
        </w:rPr>
        <w:t>Registration Document</w:t>
      </w:r>
    </w:p>
    <w:p w:rsidR="00EF471C" w:rsidRDefault="00EF471C">
      <w:pPr>
        <w:pStyle w:val="ListParagraph"/>
        <w:suppressAutoHyphens/>
        <w:ind w:left="360" w:hanging="36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360" w:hanging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PI(s) </w:t>
      </w:r>
      <w:proofErr w:type="spellStart"/>
      <w:r>
        <w:rPr>
          <w:b/>
          <w:bCs/>
          <w:sz w:val="22"/>
          <w:szCs w:val="22"/>
        </w:rPr>
        <w:t>Biosketch</w:t>
      </w:r>
      <w:proofErr w:type="spellEnd"/>
    </w:p>
    <w:p w:rsidR="00EF471C" w:rsidRDefault="00EF471C">
      <w:pPr>
        <w:pStyle w:val="ListParagraph"/>
        <w:suppressAutoHyphens/>
        <w:ind w:left="360" w:hanging="360"/>
        <w:rPr>
          <w:sz w:val="22"/>
          <w:szCs w:val="22"/>
        </w:rPr>
      </w:pPr>
    </w:p>
    <w:p w:rsidR="00EF471C" w:rsidRDefault="00853A29">
      <w:pPr>
        <w:pStyle w:val="ListParagraph"/>
        <w:suppressAutoHyphens/>
        <w:ind w:left="360" w:hanging="360"/>
        <w:rPr>
          <w:b/>
          <w:color w:val="1F497D"/>
          <w:sz w:val="22"/>
          <w:szCs w:val="22"/>
        </w:rPr>
      </w:pPr>
      <w:r w:rsidRPr="00A034CE">
        <w:rPr>
          <w:b/>
          <w:bCs/>
          <w:sz w:val="22"/>
          <w:szCs w:val="22"/>
        </w:rPr>
        <w:t>Missouri S&amp;T Biological Hygiene Plan</w:t>
      </w:r>
      <w:r w:rsidRPr="00853A29">
        <w:rPr>
          <w:b/>
          <w:bCs/>
          <w:sz w:val="22"/>
          <w:szCs w:val="22"/>
        </w:rPr>
        <w:t xml:space="preserve"> (</w:t>
      </w:r>
      <w:hyperlink r:id="rId6" w:history="1">
        <w:r w:rsidRPr="00853A29">
          <w:rPr>
            <w:rStyle w:val="Hyperlink"/>
            <w:b/>
            <w:sz w:val="22"/>
            <w:szCs w:val="22"/>
          </w:rPr>
          <w:t>https://ehs.mst.edu/labsafety/biologicalsafety/</w:t>
        </w:r>
      </w:hyperlink>
      <w:r w:rsidRPr="00853A29">
        <w:rPr>
          <w:b/>
          <w:color w:val="1F497D"/>
          <w:sz w:val="22"/>
          <w:szCs w:val="22"/>
        </w:rPr>
        <w:t>)</w:t>
      </w:r>
    </w:p>
    <w:p w:rsidR="00CF5B93" w:rsidRPr="00A034CE" w:rsidRDefault="00CF5B93">
      <w:pPr>
        <w:pStyle w:val="ListParagraph"/>
        <w:suppressAutoHyphens/>
        <w:ind w:left="360" w:hanging="360"/>
        <w:rPr>
          <w:sz w:val="22"/>
          <w:szCs w:val="22"/>
        </w:rPr>
      </w:pPr>
      <w:r w:rsidRPr="00A034CE">
        <w:rPr>
          <w:bCs/>
          <w:sz w:val="22"/>
          <w:szCs w:val="22"/>
        </w:rPr>
        <w:t xml:space="preserve">Note: </w:t>
      </w:r>
      <w:r w:rsidR="00A034CE" w:rsidRPr="00A034CE">
        <w:rPr>
          <w:bCs/>
          <w:sz w:val="22"/>
          <w:szCs w:val="22"/>
        </w:rPr>
        <w:t>The document should be based upon Appendix A in the Plan.</w:t>
      </w:r>
    </w:p>
    <w:p w:rsidR="00EF471C" w:rsidRDefault="00EF471C">
      <w:pPr>
        <w:pStyle w:val="ListParagraph"/>
        <w:suppressAutoHyphens/>
        <w:ind w:left="360"/>
        <w:rPr>
          <w:sz w:val="22"/>
          <w:szCs w:val="22"/>
        </w:rPr>
      </w:pPr>
    </w:p>
    <w:p w:rsidR="00EF471C" w:rsidRDefault="00EF471C">
      <w:pPr>
        <w:pStyle w:val="ListParagraph"/>
        <w:widowControl w:val="0"/>
        <w:suppressAutoHyphens/>
        <w:ind w:left="0"/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F471C">
        <w:trPr>
          <w:trHeight w:val="22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71C" w:rsidRDefault="004E002E">
            <w:pPr>
              <w:suppressAutoHyphens/>
              <w:jc w:val="both"/>
            </w:pPr>
            <w:r>
              <w:rPr>
                <w:b/>
                <w:bCs/>
                <w:color w:val="FFFFFF"/>
                <w:u w:color="FFFFFF"/>
              </w:rPr>
              <w:t>PROTOCOL-SPECIFIC DOCUMENTS AND INFORMATION SUBMITTED AS AN APPENDIX</w:t>
            </w:r>
          </w:p>
        </w:tc>
      </w:tr>
    </w:tbl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Lab Sketch</w:t>
      </w:r>
      <w:r>
        <w:rPr>
          <w:sz w:val="22"/>
          <w:szCs w:val="22"/>
        </w:rPr>
        <w:t xml:space="preserve">: Required for all BSL-2 or </w:t>
      </w:r>
      <w:r w:rsidR="00B2417C">
        <w:rPr>
          <w:sz w:val="22"/>
          <w:szCs w:val="22"/>
        </w:rPr>
        <w:t>higher labs.</w:t>
      </w:r>
      <w:r w:rsidR="00A034CE">
        <w:rPr>
          <w:sz w:val="22"/>
          <w:szCs w:val="22"/>
        </w:rPr>
        <w:t xml:space="preserve"> </w:t>
      </w:r>
      <w:r>
        <w:rPr>
          <w:sz w:val="22"/>
          <w:szCs w:val="22"/>
        </w:rPr>
        <w:t>The sketch should include the location of exits/entrances, BSL2/BSL3 equipment (centrifuges, incubators, etc.), biosafety cabinet(s), sinks, benches, etc.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Animal Hazard Summary</w:t>
      </w:r>
      <w:r>
        <w:rPr>
          <w:sz w:val="22"/>
          <w:szCs w:val="22"/>
        </w:rPr>
        <w:t>: Required for protocols involving the introduction of biohazardo</w:t>
      </w:r>
      <w:r w:rsidR="00A034CE">
        <w:rPr>
          <w:sz w:val="22"/>
          <w:szCs w:val="22"/>
        </w:rPr>
        <w:t xml:space="preserve">us agents to animals. </w:t>
      </w:r>
      <w:r>
        <w:rPr>
          <w:sz w:val="22"/>
          <w:szCs w:val="22"/>
        </w:rPr>
        <w:t>The approved file must also be submitted to the animal facility manager.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Self-Inspection Checklist</w:t>
      </w:r>
      <w:r>
        <w:rPr>
          <w:sz w:val="22"/>
          <w:szCs w:val="22"/>
        </w:rPr>
        <w:t xml:space="preserve">: Required for </w:t>
      </w:r>
      <w:r>
        <w:rPr>
          <w:sz w:val="22"/>
          <w:szCs w:val="22"/>
          <w:u w:val="single"/>
        </w:rPr>
        <w:t>all</w:t>
      </w:r>
      <w:r>
        <w:rPr>
          <w:sz w:val="22"/>
          <w:szCs w:val="22"/>
        </w:rPr>
        <w:t xml:space="preserve"> BSL-1 labs, and for annual reviews of BSL-1 and BSL-2 labs.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On-site Inspection</w:t>
      </w:r>
      <w:r>
        <w:rPr>
          <w:sz w:val="22"/>
          <w:szCs w:val="22"/>
        </w:rPr>
        <w:t>: An on-site inspection must be scheduled for all BSL-2 new and/or renewal protocol submissions.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EF471C">
      <w:pPr>
        <w:pStyle w:val="ListParagraph"/>
        <w:widowControl w:val="0"/>
        <w:suppressAutoHyphens/>
        <w:ind w:left="0"/>
        <w:rPr>
          <w:sz w:val="22"/>
          <w:szCs w:val="22"/>
        </w:rPr>
      </w:pPr>
    </w:p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0"/>
      </w:tblGrid>
      <w:tr w:rsidR="00EF471C">
        <w:trPr>
          <w:trHeight w:val="243"/>
        </w:trPr>
        <w:tc>
          <w:tcPr>
            <w:tcW w:w="10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7862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471C" w:rsidRDefault="006C16BB" w:rsidP="006C16BB">
            <w:pPr>
              <w:suppressAutoHyphens/>
              <w:jc w:val="both"/>
            </w:pPr>
            <w:r>
              <w:rPr>
                <w:b/>
                <w:bCs/>
                <w:color w:val="FFFFFF"/>
                <w:sz w:val="22"/>
                <w:szCs w:val="22"/>
                <w:u w:color="FFFFFF"/>
              </w:rPr>
              <w:t>PERSONNEL TRAINING</w:t>
            </w:r>
            <w:r w:rsidR="00B2417C">
              <w:rPr>
                <w:b/>
                <w:bCs/>
                <w:color w:val="FFFFFF"/>
                <w:sz w:val="22"/>
                <w:szCs w:val="22"/>
                <w:u w:color="FFFFFF"/>
              </w:rPr>
              <w:t>:</w:t>
            </w:r>
          </w:p>
        </w:tc>
      </w:tr>
    </w:tbl>
    <w:p w:rsidR="00EF471C" w:rsidRDefault="00EF471C">
      <w:pPr>
        <w:pStyle w:val="ListParagraph"/>
        <w:widowControl w:val="0"/>
        <w:suppressAutoHyphens/>
        <w:ind w:left="0"/>
        <w:rPr>
          <w:sz w:val="22"/>
          <w:szCs w:val="22"/>
        </w:rPr>
      </w:pPr>
    </w:p>
    <w:p w:rsidR="00EF471C" w:rsidRDefault="005E216E">
      <w:pPr>
        <w:pStyle w:val="ListParagraph"/>
        <w:suppressAutoHyphens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Vivid </w:t>
      </w:r>
      <w:r w:rsidR="004E002E">
        <w:rPr>
          <w:b/>
          <w:bCs/>
          <w:sz w:val="22"/>
          <w:szCs w:val="22"/>
        </w:rPr>
        <w:t>Training</w:t>
      </w:r>
      <w:r>
        <w:rPr>
          <w:b/>
          <w:bCs/>
          <w:sz w:val="22"/>
          <w:szCs w:val="22"/>
        </w:rPr>
        <w:t xml:space="preserve"> with Missouri S&amp;T Environmental Health and Safety</w:t>
      </w:r>
      <w:r w:rsidR="006C16BB">
        <w:rPr>
          <w:b/>
          <w:bCs/>
          <w:sz w:val="22"/>
          <w:szCs w:val="22"/>
        </w:rPr>
        <w:t xml:space="preserve"> Department</w:t>
      </w:r>
      <w:r>
        <w:rPr>
          <w:b/>
          <w:bCs/>
          <w:sz w:val="22"/>
          <w:szCs w:val="22"/>
        </w:rPr>
        <w:t xml:space="preserve"> (EHS)</w:t>
      </w:r>
    </w:p>
    <w:p w:rsidR="008F14C8" w:rsidRDefault="008F14C8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 w:rsidRPr="00B2417C">
        <w:rPr>
          <w:b/>
          <w:bCs/>
          <w:sz w:val="22"/>
          <w:szCs w:val="22"/>
        </w:rPr>
        <w:t>Autoclave Training</w:t>
      </w:r>
      <w:r w:rsidRPr="00B2417C">
        <w:rPr>
          <w:sz w:val="22"/>
          <w:szCs w:val="22"/>
        </w:rPr>
        <w:t>: R</w:t>
      </w:r>
      <w:r>
        <w:rPr>
          <w:sz w:val="22"/>
          <w:szCs w:val="22"/>
        </w:rPr>
        <w:t>equired for all personnel listed on all protocols.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>
        <w:rPr>
          <w:b/>
          <w:bCs/>
          <w:sz w:val="22"/>
          <w:szCs w:val="22"/>
        </w:rPr>
        <w:t>NIH Guidelines Training</w:t>
      </w:r>
      <w:r>
        <w:rPr>
          <w:sz w:val="22"/>
          <w:szCs w:val="22"/>
        </w:rPr>
        <w:t>: Required for all personnel working with recombinant and/or synthetic nucleic acids and/or modified organisms.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 w:rsidRPr="00B2417C">
        <w:rPr>
          <w:b/>
          <w:bCs/>
          <w:sz w:val="22"/>
          <w:szCs w:val="22"/>
        </w:rPr>
        <w:t>Biosafety Cabinet Training</w:t>
      </w:r>
      <w:r>
        <w:rPr>
          <w:sz w:val="22"/>
          <w:szCs w:val="22"/>
        </w:rPr>
        <w:t>: Required for personnel listed on BSL-2 protocols.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 w:rsidRPr="005E216E">
        <w:rPr>
          <w:b/>
          <w:bCs/>
          <w:sz w:val="22"/>
          <w:szCs w:val="22"/>
        </w:rPr>
        <w:t>Blood-borne Pathogens Training</w:t>
      </w:r>
      <w:r w:rsidRPr="005E216E">
        <w:rPr>
          <w:sz w:val="22"/>
          <w:szCs w:val="22"/>
        </w:rPr>
        <w:t>:</w:t>
      </w:r>
      <w:r>
        <w:rPr>
          <w:sz w:val="22"/>
          <w:szCs w:val="22"/>
        </w:rPr>
        <w:t xml:space="preserve"> Required for personnel working with human an</w:t>
      </w:r>
      <w:r w:rsidR="00B2417C">
        <w:rPr>
          <w:sz w:val="22"/>
          <w:szCs w:val="22"/>
        </w:rPr>
        <w:t xml:space="preserve">d/or non-human primate agents. </w:t>
      </w:r>
      <w:r>
        <w:rPr>
          <w:sz w:val="22"/>
          <w:szCs w:val="22"/>
        </w:rPr>
        <w:t>This training must be completed annually.</w:t>
      </w:r>
    </w:p>
    <w:p w:rsidR="00EF471C" w:rsidRDefault="00EF471C">
      <w:pPr>
        <w:pStyle w:val="ListParagraph"/>
        <w:suppressAutoHyphens/>
        <w:ind w:left="0"/>
        <w:rPr>
          <w:sz w:val="22"/>
          <w:szCs w:val="22"/>
        </w:rPr>
      </w:pPr>
    </w:p>
    <w:p w:rsidR="00EF471C" w:rsidRDefault="004E002E">
      <w:pPr>
        <w:pStyle w:val="ListParagraph"/>
        <w:suppressAutoHyphens/>
        <w:ind w:left="0"/>
        <w:rPr>
          <w:sz w:val="22"/>
          <w:szCs w:val="22"/>
        </w:rPr>
      </w:pPr>
      <w:r w:rsidRPr="00B2417C">
        <w:rPr>
          <w:b/>
          <w:bCs/>
          <w:sz w:val="22"/>
          <w:szCs w:val="22"/>
        </w:rPr>
        <w:t>Respiratory Training: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Required for all personnel working with aerosol hazards including nanoparticles. This train</w:t>
      </w:r>
      <w:r w:rsidR="00B2417C">
        <w:rPr>
          <w:sz w:val="22"/>
          <w:szCs w:val="22"/>
        </w:rPr>
        <w:t>ing must be completed annually.</w:t>
      </w:r>
      <w:r>
        <w:rPr>
          <w:sz w:val="22"/>
          <w:szCs w:val="22"/>
        </w:rPr>
        <w:t xml:space="preserve"> Fit-testing must be completed during the initial training. </w:t>
      </w:r>
    </w:p>
    <w:p w:rsidR="00EF471C" w:rsidRDefault="00EF471C">
      <w:pPr>
        <w:pStyle w:val="ListParagraph"/>
        <w:suppressAutoHyphens/>
        <w:ind w:left="0"/>
      </w:pPr>
      <w:bookmarkStart w:id="0" w:name="_GoBack"/>
      <w:bookmarkEnd w:id="0"/>
    </w:p>
    <w:sectPr w:rsidR="00EF471C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2A" w:rsidRDefault="0015282A">
      <w:r>
        <w:separator/>
      </w:r>
    </w:p>
  </w:endnote>
  <w:endnote w:type="continuationSeparator" w:id="0">
    <w:p w:rsidR="0015282A" w:rsidRDefault="0015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71C" w:rsidRDefault="004E002E">
    <w:pPr>
      <w:pStyle w:val="Footer"/>
      <w:tabs>
        <w:tab w:val="clear" w:pos="4320"/>
        <w:tab w:val="clear" w:pos="8640"/>
        <w:tab w:val="center" w:pos="5400"/>
        <w:tab w:val="right" w:pos="10780"/>
      </w:tabs>
    </w:pPr>
    <w:r>
      <w:rPr>
        <w:sz w:val="16"/>
        <w:szCs w:val="16"/>
      </w:rPr>
      <w:t>Submission Checklist</w:t>
    </w:r>
    <w:r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Page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PAGE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F33C1F"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</w:t>
    </w:r>
    <w:r>
      <w:rPr>
        <w:rFonts w:ascii="Times New Roman" w:eastAsia="Times New Roman" w:hAnsi="Times New Roman" w:cs="Times New Roman"/>
        <w:sz w:val="16"/>
        <w:szCs w:val="16"/>
      </w:rPr>
      <w:fldChar w:fldCharType="begin"/>
    </w:r>
    <w:r>
      <w:rPr>
        <w:rFonts w:ascii="Times New Roman" w:eastAsia="Times New Roman" w:hAnsi="Times New Roman" w:cs="Times New Roman"/>
        <w:sz w:val="16"/>
        <w:szCs w:val="16"/>
      </w:rPr>
      <w:instrText xml:space="preserve"> NUMPAGES </w:instrText>
    </w:r>
    <w:r>
      <w:rPr>
        <w:rFonts w:ascii="Times New Roman" w:eastAsia="Times New Roman" w:hAnsi="Times New Roman" w:cs="Times New Roman"/>
        <w:sz w:val="16"/>
        <w:szCs w:val="16"/>
      </w:rPr>
      <w:fldChar w:fldCharType="separate"/>
    </w:r>
    <w:r w:rsidR="00F33C1F">
      <w:rPr>
        <w:rFonts w:ascii="Times New Roman" w:eastAsia="Times New Roman" w:hAnsi="Times New Roman" w:cs="Times New Roman"/>
        <w:noProof/>
        <w:sz w:val="16"/>
        <w:szCs w:val="16"/>
      </w:rPr>
      <w:t>1</w:t>
    </w:r>
    <w:r>
      <w:rPr>
        <w:rFonts w:ascii="Times New Roman" w:eastAsia="Times New Roman" w:hAnsi="Times New Roman" w:cs="Times New Roman"/>
        <w:sz w:val="16"/>
        <w:szCs w:val="16"/>
      </w:rPr>
      <w:fldChar w:fldCharType="end"/>
    </w:r>
    <w:r>
      <w:rPr>
        <w:sz w:val="16"/>
        <w:szCs w:val="16"/>
      </w:rPr>
      <w:tab/>
      <w:t>7/2017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2A" w:rsidRDefault="0015282A">
      <w:r>
        <w:separator/>
      </w:r>
    </w:p>
  </w:footnote>
  <w:footnote w:type="continuationSeparator" w:id="0">
    <w:p w:rsidR="0015282A" w:rsidRDefault="00152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1C"/>
    <w:rsid w:val="0015282A"/>
    <w:rsid w:val="003C1439"/>
    <w:rsid w:val="004E002E"/>
    <w:rsid w:val="00580FF2"/>
    <w:rsid w:val="005B485D"/>
    <w:rsid w:val="005E216E"/>
    <w:rsid w:val="006C16BB"/>
    <w:rsid w:val="00853A29"/>
    <w:rsid w:val="008F14C8"/>
    <w:rsid w:val="00A034CE"/>
    <w:rsid w:val="00AB08F6"/>
    <w:rsid w:val="00B2417C"/>
    <w:rsid w:val="00CF5B93"/>
    <w:rsid w:val="00EF471C"/>
    <w:rsid w:val="00F3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433AB-C602-0F40-86FC-E9476E3D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hs.mst.edu/labsafety/biologicalsafet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Bresnahan, Michelle E.</dc:creator>
  <cp:lastModifiedBy>Bresnahan, Michelle E.</cp:lastModifiedBy>
  <cp:revision>2</cp:revision>
  <dcterms:created xsi:type="dcterms:W3CDTF">2020-02-17T19:32:00Z</dcterms:created>
  <dcterms:modified xsi:type="dcterms:W3CDTF">2020-02-17T19:32:00Z</dcterms:modified>
</cp:coreProperties>
</file>